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F5790" w:rsidRDefault="008F5790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8F5790">
        <w:rPr>
          <w:b/>
          <w:szCs w:val="28"/>
        </w:rPr>
        <w:t>26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1008CB">
        <w:rPr>
          <w:b/>
          <w:szCs w:val="28"/>
        </w:rPr>
        <w:t xml:space="preserve">декабря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8F5790">
        <w:rPr>
          <w:b/>
          <w:szCs w:val="28"/>
        </w:rPr>
        <w:t>380</w:t>
      </w:r>
      <w:r w:rsidRPr="00831AC2">
        <w:rPr>
          <w:b/>
          <w:szCs w:val="28"/>
        </w:rPr>
        <w:t xml:space="preserve">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F4038" w:rsidRPr="00C233D8">
        <w:rPr>
          <w:b/>
          <w:szCs w:val="28"/>
        </w:rPr>
        <w:t>«</w:t>
      </w:r>
      <w:r w:rsidR="00DD7897" w:rsidRPr="00C233D8">
        <w:rPr>
          <w:b/>
          <w:szCs w:val="28"/>
        </w:rPr>
        <w:t xml:space="preserve">О Бюджете Горноключевского городского поселения Кировского муниципального района </w:t>
      </w:r>
      <w:r w:rsidRPr="00C233D8">
        <w:rPr>
          <w:b/>
          <w:szCs w:val="28"/>
        </w:rPr>
        <w:t xml:space="preserve">на </w:t>
      </w:r>
      <w:r w:rsidR="00DD7897" w:rsidRPr="00C233D8">
        <w:rPr>
          <w:b/>
          <w:szCs w:val="28"/>
        </w:rPr>
        <w:t>201</w:t>
      </w:r>
      <w:r w:rsidR="008D336C" w:rsidRPr="00C233D8">
        <w:rPr>
          <w:b/>
          <w:szCs w:val="28"/>
        </w:rPr>
        <w:t>9</w:t>
      </w:r>
      <w:r w:rsidR="00DF4038" w:rsidRPr="00C233D8">
        <w:rPr>
          <w:b/>
          <w:szCs w:val="28"/>
        </w:rPr>
        <w:t xml:space="preserve"> год»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8F5790">
        <w:rPr>
          <w:sz w:val="24"/>
          <w:szCs w:val="24"/>
        </w:rPr>
        <w:t>379</w:t>
      </w:r>
      <w:r w:rsidR="00086BB5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8F5790">
        <w:rPr>
          <w:sz w:val="24"/>
          <w:szCs w:val="24"/>
        </w:rPr>
        <w:t>26</w:t>
      </w:r>
      <w:r w:rsidR="00086BB5">
        <w:rPr>
          <w:sz w:val="24"/>
          <w:szCs w:val="24"/>
        </w:rPr>
        <w:t>.1</w:t>
      </w:r>
      <w:r w:rsidR="001008CB">
        <w:rPr>
          <w:sz w:val="24"/>
          <w:szCs w:val="24"/>
        </w:rPr>
        <w:t>2</w:t>
      </w:r>
      <w:r w:rsidR="00086BB5">
        <w:rPr>
          <w:sz w:val="24"/>
          <w:szCs w:val="24"/>
        </w:rPr>
        <w:t>.2018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767492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</w:t>
      </w:r>
      <w:r w:rsidR="001008CB">
        <w:rPr>
          <w:sz w:val="26"/>
          <w:szCs w:val="26"/>
        </w:rPr>
        <w:t>еления  от 10.08.2011 года № 78</w:t>
      </w:r>
      <w:r w:rsidR="005D289D" w:rsidRPr="005D289D">
        <w:rPr>
          <w:sz w:val="26"/>
          <w:szCs w:val="26"/>
        </w:rPr>
        <w:t xml:space="preserve">, Устава Горноключевского городского поселения, утвержденного решением муниципального комитета Горноключевского городского поселения </w:t>
      </w:r>
      <w:r w:rsidR="00D57DBF" w:rsidRPr="00D57DBF">
        <w:rPr>
          <w:sz w:val="26"/>
          <w:szCs w:val="26"/>
        </w:rPr>
        <w:t>№ 304 от 16.02.2018 г., Муниципальный комитет Горноключевского городского поселения</w:t>
      </w:r>
      <w:proofErr w:type="gramEnd"/>
    </w:p>
    <w:p w:rsidR="00D57DBF" w:rsidRDefault="00D57DBF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1008CB" w:rsidRPr="008F1980" w:rsidRDefault="001008CB" w:rsidP="001008CB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1008CB" w:rsidRPr="008F1980" w:rsidRDefault="001008CB" w:rsidP="001008C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>
        <w:rPr>
          <w:sz w:val="26"/>
          <w:szCs w:val="26"/>
        </w:rPr>
        <w:t>22 025,82</w:t>
      </w:r>
      <w:r w:rsidRPr="008F1980">
        <w:rPr>
          <w:sz w:val="26"/>
          <w:szCs w:val="26"/>
        </w:rPr>
        <w:t xml:space="preserve"> тыс. руб. </w:t>
      </w:r>
    </w:p>
    <w:p w:rsidR="001008CB" w:rsidRPr="008F1980" w:rsidRDefault="001008CB" w:rsidP="001008C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>
        <w:rPr>
          <w:sz w:val="26"/>
          <w:szCs w:val="26"/>
        </w:rPr>
        <w:t>20 935,50</w:t>
      </w:r>
      <w:r w:rsidRPr="008F1980">
        <w:rPr>
          <w:sz w:val="26"/>
          <w:szCs w:val="26"/>
        </w:rPr>
        <w:t xml:space="preserve"> тыс. рублей</w:t>
      </w:r>
    </w:p>
    <w:p w:rsidR="001008CB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>
        <w:rPr>
          <w:sz w:val="26"/>
          <w:szCs w:val="26"/>
        </w:rPr>
        <w:t>24 108,82</w:t>
      </w:r>
      <w:r w:rsidRPr="008F1980">
        <w:rPr>
          <w:sz w:val="26"/>
          <w:szCs w:val="26"/>
        </w:rPr>
        <w:t xml:space="preserve"> тыс. руб.</w:t>
      </w:r>
    </w:p>
    <w:p w:rsidR="001008CB" w:rsidRDefault="001008CB" w:rsidP="001008CB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2 083,00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Pr="000846A9">
        <w:rPr>
          <w:sz w:val="26"/>
          <w:szCs w:val="26"/>
        </w:rPr>
        <w:t>40</w:t>
      </w:r>
      <w:r>
        <w:rPr>
          <w:sz w:val="26"/>
          <w:szCs w:val="26"/>
        </w:rPr>
        <w:t>35,50</w:t>
      </w:r>
      <w:r w:rsidRPr="008F1980">
        <w:rPr>
          <w:sz w:val="26"/>
          <w:szCs w:val="26"/>
        </w:rPr>
        <w:t xml:space="preserve"> тыс. руб.;</w:t>
      </w:r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4 035,50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3)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240,00</w:t>
      </w:r>
      <w:r w:rsidRPr="008F1980">
        <w:rPr>
          <w:sz w:val="26"/>
          <w:szCs w:val="26"/>
        </w:rPr>
        <w:t xml:space="preserve">  тыс.</w:t>
      </w:r>
      <w:r w:rsidR="008F579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1008CB" w:rsidRPr="008F1980" w:rsidRDefault="001008CB" w:rsidP="001008C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4) Общий объем бюджетных  ассигнований  на исполнение публичных  нормативных обязательств на 201</w:t>
      </w:r>
      <w:r w:rsidR="0033798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1008CB" w:rsidRPr="008F1980" w:rsidRDefault="001008CB" w:rsidP="001008C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1008CB" w:rsidRPr="008F1980" w:rsidRDefault="001008CB" w:rsidP="001008CB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>год.</w:t>
      </w:r>
    </w:p>
    <w:p w:rsidR="001008CB" w:rsidRPr="008F1980" w:rsidRDefault="001008CB" w:rsidP="001008CB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3.2.Приложение №5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1008CB" w:rsidRPr="008F1980" w:rsidRDefault="001008CB" w:rsidP="001008CB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4.3.Приложение №6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1008CB" w:rsidRPr="008F1980" w:rsidRDefault="001008CB" w:rsidP="001008CB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1008CB" w:rsidRPr="008F1980" w:rsidRDefault="001008CB" w:rsidP="001008CB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</w:t>
      </w:r>
      <w:r w:rsidR="00497131">
        <w:rPr>
          <w:b/>
          <w:sz w:val="26"/>
          <w:szCs w:val="26"/>
        </w:rPr>
        <w:t>ания дефицита бюджета поселения</w:t>
      </w:r>
      <w:proofErr w:type="gramEnd"/>
    </w:p>
    <w:p w:rsidR="001008CB" w:rsidRPr="008F1980" w:rsidRDefault="001008CB" w:rsidP="001008C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1008CB" w:rsidRPr="008F1980" w:rsidRDefault="001008CB" w:rsidP="001008C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1008CB" w:rsidRPr="008F1980" w:rsidRDefault="001008CB" w:rsidP="001008C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1008CB" w:rsidRPr="008F1980" w:rsidRDefault="001008CB" w:rsidP="001008C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1008CB" w:rsidRPr="008F1980" w:rsidRDefault="001008CB" w:rsidP="001008CB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008CB" w:rsidRPr="008F1980" w:rsidRDefault="001008CB" w:rsidP="00497131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497131">
        <w:rPr>
          <w:b/>
          <w:sz w:val="26"/>
          <w:szCs w:val="26"/>
        </w:rPr>
        <w:t>вание доходов бюджета поселения</w:t>
      </w:r>
    </w:p>
    <w:p w:rsidR="001008CB" w:rsidRPr="008F1980" w:rsidRDefault="001008CB" w:rsidP="001008CB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формируются за счет: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008CB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1008CB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1008CB" w:rsidRPr="003B61D2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1008CB" w:rsidRPr="003B61D2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1008CB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1008CB" w:rsidRPr="008F1980" w:rsidRDefault="001008CB" w:rsidP="001008C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008CB" w:rsidRPr="008F1980" w:rsidRDefault="001008CB" w:rsidP="001008CB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1008CB" w:rsidRPr="008F1980" w:rsidRDefault="001008CB" w:rsidP="00497131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497131">
        <w:rPr>
          <w:b/>
          <w:sz w:val="26"/>
          <w:szCs w:val="26"/>
        </w:rPr>
        <w:t>Объем доходов бюджета поселения</w:t>
      </w:r>
    </w:p>
    <w:p w:rsidR="001008CB" w:rsidRPr="008F1980" w:rsidRDefault="001008CB" w:rsidP="001008CB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1008CB" w:rsidRPr="008F1980" w:rsidRDefault="001008CB" w:rsidP="001008CB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1008CB" w:rsidRPr="008F1980" w:rsidRDefault="001008CB" w:rsidP="00497131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полу</w:t>
      </w:r>
      <w:r w:rsidR="00497131">
        <w:rPr>
          <w:b/>
          <w:sz w:val="26"/>
          <w:szCs w:val="26"/>
        </w:rPr>
        <w:t xml:space="preserve">чаемых  бюджетом   поселения   </w:t>
      </w:r>
    </w:p>
    <w:p w:rsidR="001008CB" w:rsidRPr="008F1980" w:rsidRDefault="001008CB" w:rsidP="001008CB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008CB" w:rsidRPr="008F1980" w:rsidRDefault="001008CB" w:rsidP="001008CB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008CB" w:rsidRPr="008F1980" w:rsidRDefault="001008CB" w:rsidP="0049713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1008CB" w:rsidRPr="008F1980" w:rsidRDefault="001008CB" w:rsidP="001008CB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1008CB" w:rsidRPr="008F1980" w:rsidRDefault="001008CB" w:rsidP="00497131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201</w:t>
      </w:r>
      <w:r>
        <w:rPr>
          <w:b/>
          <w:sz w:val="26"/>
          <w:szCs w:val="26"/>
        </w:rPr>
        <w:t>9</w:t>
      </w:r>
      <w:r w:rsidR="00497131">
        <w:rPr>
          <w:b/>
          <w:sz w:val="26"/>
          <w:szCs w:val="26"/>
        </w:rPr>
        <w:t xml:space="preserve"> г. </w:t>
      </w:r>
    </w:p>
    <w:p w:rsidR="001008CB" w:rsidRPr="008F1980" w:rsidRDefault="001008CB" w:rsidP="001008CB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1008CB" w:rsidRPr="008F1980" w:rsidRDefault="001008CB" w:rsidP="001008CB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33798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1008CB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lastRenderedPageBreak/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1008CB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1008CB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1008CB" w:rsidRPr="00B952C1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proofErr w:type="gramStart"/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>связанные</w:t>
      </w:r>
      <w:proofErr w:type="gramEnd"/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 резервированием средств в составе утвержденных бюджетных ассигнований:</w:t>
      </w:r>
    </w:p>
    <w:p w:rsidR="001008CB" w:rsidRPr="00B952C1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>распределение средств резервного фонда администрации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Горноключевского городского поселения</w:t>
      </w:r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>, предусмотренных по подразделу "Резервные фонды" в 201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9</w:t>
      </w:r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году в сумме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3</w:t>
      </w:r>
      <w:r w:rsidRPr="00B952C1">
        <w:rPr>
          <w:rFonts w:eastAsia="Times New Roman"/>
          <w:color w:val="000000"/>
          <w:sz w:val="26"/>
          <w:szCs w:val="26"/>
          <w:shd w:val="clear" w:color="auto" w:fill="FFFFFF"/>
        </w:rPr>
        <w:t>0,0 тыс. рублей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</w:p>
    <w:p w:rsidR="001008CB" w:rsidRDefault="001008CB" w:rsidP="001008C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1008CB" w:rsidRPr="008F1980" w:rsidRDefault="001008CB" w:rsidP="001008CB">
      <w:pPr>
        <w:ind w:left="284"/>
        <w:jc w:val="both"/>
        <w:rPr>
          <w:b/>
          <w:sz w:val="26"/>
          <w:szCs w:val="26"/>
        </w:rPr>
      </w:pPr>
    </w:p>
    <w:p w:rsidR="001008CB" w:rsidRPr="008F1980" w:rsidRDefault="001008CB" w:rsidP="00497131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497131">
        <w:rPr>
          <w:b/>
          <w:sz w:val="26"/>
          <w:szCs w:val="26"/>
        </w:rPr>
        <w:t>лючевского городского поселения</w:t>
      </w:r>
    </w:p>
    <w:p w:rsidR="001008CB" w:rsidRDefault="001008CB" w:rsidP="001008CB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253 320</w:t>
      </w:r>
      <w:r w:rsidRPr="008F1980">
        <w:rPr>
          <w:sz w:val="26"/>
          <w:szCs w:val="26"/>
        </w:rPr>
        <w:t>,00  руб.</w:t>
      </w:r>
    </w:p>
    <w:p w:rsidR="001008CB" w:rsidRDefault="001008CB" w:rsidP="001008CB">
      <w:pPr>
        <w:ind w:left="284" w:firstLine="567"/>
        <w:jc w:val="both"/>
        <w:rPr>
          <w:sz w:val="26"/>
          <w:szCs w:val="26"/>
        </w:rPr>
      </w:pPr>
    </w:p>
    <w:p w:rsidR="001008CB" w:rsidRPr="007F5CBD" w:rsidRDefault="001008CB" w:rsidP="00497131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1008CB" w:rsidRDefault="001008CB" w:rsidP="001008CB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3 546,89</w:t>
      </w:r>
      <w:r w:rsidRPr="007F5CBD">
        <w:rPr>
          <w:sz w:val="26"/>
          <w:szCs w:val="26"/>
        </w:rPr>
        <w:t xml:space="preserve"> тыс. рублей</w:t>
      </w:r>
    </w:p>
    <w:p w:rsidR="001008CB" w:rsidRPr="008F1980" w:rsidRDefault="001008CB" w:rsidP="001008CB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1008CB" w:rsidRPr="00217EA9" w:rsidTr="001008C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8CB" w:rsidRPr="00217EA9" w:rsidRDefault="001008CB" w:rsidP="001008CB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8CB" w:rsidRPr="00217EA9" w:rsidRDefault="001008CB" w:rsidP="001008CB">
            <w:pPr>
              <w:ind w:left="284" w:firstLine="1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1008CB" w:rsidRDefault="001008CB" w:rsidP="00497131">
      <w:pPr>
        <w:ind w:firstLine="284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1008CB" w:rsidRDefault="001008CB" w:rsidP="001008CB">
      <w:pPr>
        <w:ind w:left="284" w:firstLine="567"/>
        <w:jc w:val="both"/>
        <w:rPr>
          <w:sz w:val="26"/>
          <w:szCs w:val="26"/>
        </w:rPr>
      </w:pPr>
    </w:p>
    <w:p w:rsidR="001008CB" w:rsidRPr="00A60C6B" w:rsidRDefault="001008CB" w:rsidP="00497131">
      <w:pPr>
        <w:ind w:left="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60C6B">
        <w:rPr>
          <w:b/>
          <w:sz w:val="26"/>
          <w:szCs w:val="26"/>
        </w:rPr>
        <w:t>СТАТЬЯ 10. Резервный фонд Горнокл</w:t>
      </w:r>
      <w:r w:rsidR="00497131">
        <w:rPr>
          <w:b/>
          <w:sz w:val="26"/>
          <w:szCs w:val="26"/>
        </w:rPr>
        <w:t>ючевского городского поселения.</w:t>
      </w:r>
    </w:p>
    <w:p w:rsidR="001008CB" w:rsidRDefault="001008CB" w:rsidP="001008CB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Резервный фонд Горноключевского городского поселения на 2019 год утвержден в сумме 30,00 </w:t>
      </w:r>
      <w:r w:rsidRPr="007F5CBD">
        <w:rPr>
          <w:sz w:val="26"/>
          <w:szCs w:val="26"/>
        </w:rPr>
        <w:t>тыс. рублей</w:t>
      </w:r>
    </w:p>
    <w:p w:rsidR="001008CB" w:rsidRPr="008F1980" w:rsidRDefault="001008CB" w:rsidP="001008CB">
      <w:pPr>
        <w:ind w:left="284" w:firstLine="567"/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</w:p>
    <w:p w:rsidR="001008CB" w:rsidRPr="008F1980" w:rsidRDefault="001008CB" w:rsidP="00497131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СТАТЬЯ </w:t>
      </w:r>
      <w:r>
        <w:rPr>
          <w:b/>
          <w:sz w:val="26"/>
          <w:szCs w:val="26"/>
        </w:rPr>
        <w:t>11</w:t>
      </w:r>
      <w:r w:rsidRPr="008F1980">
        <w:rPr>
          <w:b/>
          <w:sz w:val="26"/>
          <w:szCs w:val="26"/>
        </w:rPr>
        <w:t>.  Вступл</w:t>
      </w:r>
      <w:r w:rsidR="00497131">
        <w:rPr>
          <w:b/>
          <w:sz w:val="26"/>
          <w:szCs w:val="26"/>
        </w:rPr>
        <w:t>ение в силу  настоящего решения</w:t>
      </w:r>
    </w:p>
    <w:p w:rsidR="001008CB" w:rsidRPr="008F1980" w:rsidRDefault="001008CB" w:rsidP="001008CB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2019г.</w:t>
      </w:r>
    </w:p>
    <w:p w:rsidR="001008CB" w:rsidRPr="008F1980" w:rsidRDefault="001008CB" w:rsidP="001008CB">
      <w:pPr>
        <w:ind w:left="284" w:firstLine="720"/>
        <w:rPr>
          <w:sz w:val="26"/>
          <w:szCs w:val="26"/>
        </w:rPr>
      </w:pPr>
    </w:p>
    <w:p w:rsidR="001008CB" w:rsidRPr="008F1980" w:rsidRDefault="001008CB" w:rsidP="00497131">
      <w:pPr>
        <w:rPr>
          <w:sz w:val="26"/>
          <w:szCs w:val="26"/>
        </w:rPr>
      </w:pPr>
    </w:p>
    <w:p w:rsidR="001008CB" w:rsidRPr="008F1980" w:rsidRDefault="001008CB" w:rsidP="001008CB">
      <w:pPr>
        <w:ind w:left="284"/>
        <w:rPr>
          <w:sz w:val="26"/>
          <w:szCs w:val="26"/>
        </w:rPr>
      </w:pPr>
    </w:p>
    <w:p w:rsidR="001008CB" w:rsidRPr="008F1980" w:rsidRDefault="001008CB" w:rsidP="001008CB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008CB" w:rsidRPr="008F1980" w:rsidRDefault="001008CB" w:rsidP="001008CB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4A2CB9" w:rsidRDefault="004A2CB9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497131" w:rsidRDefault="00497131" w:rsidP="004A2CB9">
      <w:pPr>
        <w:ind w:left="284"/>
        <w:rPr>
          <w:sz w:val="26"/>
          <w:szCs w:val="26"/>
        </w:rPr>
      </w:pPr>
    </w:p>
    <w:p w:rsidR="001008CB" w:rsidRPr="00FD49DE" w:rsidRDefault="001008CB" w:rsidP="00096560">
      <w:pPr>
        <w:jc w:val="right"/>
        <w:rPr>
          <w:rFonts w:eastAsia="Times New Roman"/>
          <w:sz w:val="20"/>
          <w:szCs w:val="20"/>
        </w:rPr>
      </w:pPr>
      <w:r w:rsidRPr="00FD49DE">
        <w:rPr>
          <w:rFonts w:eastAsia="Times New Roman"/>
          <w:sz w:val="20"/>
          <w:szCs w:val="20"/>
        </w:rPr>
        <w:t>Приложение № 1</w:t>
      </w:r>
      <w:r w:rsidRPr="00FD49DE">
        <w:rPr>
          <w:rFonts w:eastAsia="Times New Roman"/>
          <w:sz w:val="20"/>
          <w:szCs w:val="20"/>
        </w:rPr>
        <w:br/>
        <w:t>к решению Муниципального комитета</w:t>
      </w:r>
      <w:r w:rsidRPr="00FD49DE">
        <w:rPr>
          <w:rFonts w:eastAsia="Times New Roman"/>
          <w:sz w:val="20"/>
          <w:szCs w:val="20"/>
        </w:rPr>
        <w:br/>
        <w:t xml:space="preserve">Горноключевского городского поселения </w:t>
      </w:r>
      <w:r w:rsidRPr="00FD49DE">
        <w:rPr>
          <w:rFonts w:eastAsia="Times New Roman"/>
          <w:sz w:val="20"/>
          <w:szCs w:val="20"/>
        </w:rPr>
        <w:br/>
        <w:t>№</w:t>
      </w:r>
      <w:r w:rsidR="00096560" w:rsidRPr="00FD49DE">
        <w:rPr>
          <w:rFonts w:eastAsia="Times New Roman"/>
          <w:sz w:val="20"/>
          <w:szCs w:val="20"/>
        </w:rPr>
        <w:t xml:space="preserve"> </w:t>
      </w:r>
      <w:r w:rsidR="008F5790">
        <w:rPr>
          <w:rFonts w:eastAsia="Times New Roman"/>
          <w:sz w:val="20"/>
          <w:szCs w:val="20"/>
        </w:rPr>
        <w:t xml:space="preserve">380 от 26.12.2018 </w:t>
      </w:r>
      <w:r w:rsidRPr="00FD49DE">
        <w:rPr>
          <w:rFonts w:eastAsia="Times New Roman"/>
          <w:sz w:val="20"/>
          <w:szCs w:val="20"/>
        </w:rPr>
        <w:t>г.</w:t>
      </w:r>
    </w:p>
    <w:p w:rsidR="001008CB" w:rsidRPr="00FD49DE" w:rsidRDefault="001008CB" w:rsidP="004A2CB9">
      <w:pPr>
        <w:ind w:left="284"/>
        <w:rPr>
          <w:sz w:val="22"/>
          <w:szCs w:val="22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1856"/>
        <w:gridCol w:w="2744"/>
        <w:gridCol w:w="5246"/>
        <w:gridCol w:w="960"/>
      </w:tblGrid>
      <w:tr w:rsidR="001008CB" w:rsidRPr="00FD49DE" w:rsidTr="001008CB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129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1008CB">
        <w:trPr>
          <w:trHeight w:val="52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CB" w:rsidRPr="00FD49DE" w:rsidRDefault="001008CB" w:rsidP="001008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008CB" w:rsidRPr="00FD49DE" w:rsidTr="00FD49DE">
        <w:trPr>
          <w:trHeight w:val="7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CB" w:rsidRPr="00FD49DE" w:rsidRDefault="001008CB" w:rsidP="001008C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008CB" w:rsidRPr="00FD49DE" w:rsidRDefault="001008CB" w:rsidP="00FD49DE">
      <w:pPr>
        <w:rPr>
          <w:sz w:val="22"/>
          <w:szCs w:val="22"/>
        </w:rPr>
      </w:pPr>
    </w:p>
    <w:p w:rsidR="001008CB" w:rsidRPr="00FD49DE" w:rsidRDefault="001008CB" w:rsidP="004A2CB9">
      <w:pPr>
        <w:ind w:left="284"/>
        <w:rPr>
          <w:sz w:val="22"/>
          <w:szCs w:val="22"/>
        </w:rPr>
      </w:pPr>
    </w:p>
    <w:tbl>
      <w:tblPr>
        <w:tblW w:w="11052" w:type="dxa"/>
        <w:tblInd w:w="93" w:type="dxa"/>
        <w:tblLook w:val="04A0" w:firstRow="1" w:lastRow="0" w:firstColumn="1" w:lastColumn="0" w:noHBand="0" w:noVBand="1"/>
      </w:tblPr>
      <w:tblGrid>
        <w:gridCol w:w="1782"/>
        <w:gridCol w:w="76"/>
        <w:gridCol w:w="2464"/>
        <w:gridCol w:w="229"/>
        <w:gridCol w:w="5387"/>
        <w:gridCol w:w="154"/>
        <w:gridCol w:w="134"/>
        <w:gridCol w:w="826"/>
      </w:tblGrid>
      <w:tr w:rsidR="00096560" w:rsidRPr="00FD49DE" w:rsidTr="00FD49DE">
        <w:trPr>
          <w:trHeight w:val="90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9DE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>Приложение № 2</w:t>
            </w:r>
          </w:p>
          <w:p w:rsidR="00FD49DE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 к решению Муниципального комитета </w:t>
            </w:r>
          </w:p>
          <w:p w:rsidR="00FD49DE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Горноключевского городского поселения </w:t>
            </w:r>
          </w:p>
          <w:p w:rsidR="008F5790" w:rsidRPr="00FD49DE" w:rsidRDefault="008F579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11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0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FD49DE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FD49DE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8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FD49DE">
              <w:rPr>
                <w:rFonts w:eastAsia="Times New Roman"/>
                <w:sz w:val="22"/>
                <w:szCs w:val="22"/>
              </w:rPr>
              <w:t xml:space="preserve"> </w:t>
            </w:r>
            <w:r w:rsidRPr="00FD49DE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90" w:rsidRPr="00FD49DE" w:rsidRDefault="0009656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Приложение № 3</w:t>
            </w:r>
            <w:r w:rsidRPr="00FD49D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D49D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D49DE">
              <w:rPr>
                <w:rFonts w:eastAsia="Times New Roman"/>
                <w:sz w:val="22"/>
                <w:szCs w:val="22"/>
              </w:rPr>
              <w:br/>
            </w:r>
            <w:r w:rsidR="008F5790"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 w:rsidR="008F5790"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="008F5790"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FD49DE" w:rsidRDefault="00096560" w:rsidP="00FD49D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gridAfter w:val="1"/>
          <w:wAfter w:w="826" w:type="dxa"/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60" w:rsidRPr="00FD49DE" w:rsidRDefault="00096560" w:rsidP="00FD49D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9DE" w:rsidRPr="00FD49DE" w:rsidTr="00FD49DE">
        <w:trPr>
          <w:gridAfter w:val="1"/>
          <w:wAfter w:w="826" w:type="dxa"/>
          <w:trHeight w:val="115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9DE" w:rsidRPr="00FD49DE" w:rsidRDefault="00FD49DE" w:rsidP="00FD49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</w:t>
            </w: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 xml:space="preserve">главных </w:t>
            </w:r>
            <w:proofErr w:type="gramStart"/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 xml:space="preserve"> Горноключевского городского поселения</w:t>
            </w:r>
          </w:p>
        </w:tc>
      </w:tr>
      <w:tr w:rsidR="00FD49DE" w:rsidRPr="00FD49DE" w:rsidTr="00FD49DE">
        <w:trPr>
          <w:gridAfter w:val="4"/>
          <w:wAfter w:w="6501" w:type="dxa"/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9DE" w:rsidRPr="00FD49DE" w:rsidTr="00FD49DE">
        <w:trPr>
          <w:gridAfter w:val="2"/>
          <w:wAfter w:w="960" w:type="dxa"/>
          <w:trHeight w:val="12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FD49DE" w:rsidRPr="00FD49DE" w:rsidTr="00FD49DE">
        <w:trPr>
          <w:gridAfter w:val="2"/>
          <w:wAfter w:w="960" w:type="dxa"/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FD49DE" w:rsidRPr="00FD49DE" w:rsidTr="00FD49DE">
        <w:trPr>
          <w:gridAfter w:val="2"/>
          <w:wAfter w:w="960" w:type="dxa"/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FD49DE" w:rsidRPr="00FD49DE" w:rsidTr="00FD49DE">
        <w:trPr>
          <w:gridAfter w:val="2"/>
          <w:wAfter w:w="960" w:type="dxa"/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FD49DE" w:rsidRPr="00FD49DE" w:rsidTr="00FD49DE">
        <w:trPr>
          <w:gridAfter w:val="2"/>
          <w:wAfter w:w="960" w:type="dxa"/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FD49DE" w:rsidRPr="00FD49DE" w:rsidTr="00FD49DE">
        <w:trPr>
          <w:gridAfter w:val="2"/>
          <w:wAfter w:w="960" w:type="dxa"/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FD49DE" w:rsidRPr="00FD49DE" w:rsidTr="00FD49DE">
        <w:trPr>
          <w:gridAfter w:val="2"/>
          <w:wAfter w:w="960" w:type="dxa"/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D49DE" w:rsidRPr="00FD49DE" w:rsidTr="00FD49DE">
        <w:trPr>
          <w:gridAfter w:val="2"/>
          <w:wAfter w:w="960" w:type="dxa"/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096560" w:rsidRPr="00FD49DE" w:rsidRDefault="00096560" w:rsidP="00FD49DE">
      <w:pPr>
        <w:tabs>
          <w:tab w:val="left" w:pos="4111"/>
        </w:tabs>
        <w:rPr>
          <w:sz w:val="22"/>
          <w:szCs w:val="22"/>
        </w:rPr>
      </w:pPr>
    </w:p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1014" w:type="dxa"/>
        <w:tblInd w:w="93" w:type="dxa"/>
        <w:tblLook w:val="04A0" w:firstRow="1" w:lastRow="0" w:firstColumn="1" w:lastColumn="0" w:noHBand="0" w:noVBand="1"/>
      </w:tblPr>
      <w:tblGrid>
        <w:gridCol w:w="2740"/>
        <w:gridCol w:w="2520"/>
        <w:gridCol w:w="992"/>
        <w:gridCol w:w="1418"/>
        <w:gridCol w:w="724"/>
        <w:gridCol w:w="268"/>
        <w:gridCol w:w="1172"/>
        <w:gridCol w:w="220"/>
        <w:gridCol w:w="236"/>
        <w:gridCol w:w="724"/>
      </w:tblGrid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DE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Приложение № 4 </w:t>
            </w:r>
          </w:p>
          <w:p w:rsidR="00FD49DE" w:rsidRPr="00FD49DE" w:rsidRDefault="00FD49DE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к решению  </w:t>
            </w:r>
            <w:r w:rsidR="00096560" w:rsidRPr="00FD49DE">
              <w:rPr>
                <w:rFonts w:eastAsia="Times New Roman"/>
                <w:sz w:val="20"/>
                <w:szCs w:val="20"/>
              </w:rPr>
              <w:t xml:space="preserve">Муниципального комитета </w:t>
            </w:r>
          </w:p>
          <w:p w:rsidR="00FD49DE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Горноключевского городского поселения </w:t>
            </w:r>
          </w:p>
          <w:p w:rsidR="008F5790" w:rsidRPr="00FD49DE" w:rsidRDefault="008F579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FD49D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560" w:rsidRPr="00FD49DE" w:rsidTr="00FD49DE">
        <w:trPr>
          <w:trHeight w:val="315"/>
        </w:trPr>
        <w:tc>
          <w:tcPr>
            <w:tcW w:w="10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00"/>
        </w:trPr>
        <w:tc>
          <w:tcPr>
            <w:tcW w:w="10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33798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. 201</w:t>
            </w:r>
            <w:r w:rsidR="0033798F">
              <w:rPr>
                <w:rFonts w:eastAsia="Times New Roman"/>
                <w:b/>
                <w:bCs/>
                <w:sz w:val="22"/>
                <w:szCs w:val="22"/>
              </w:rPr>
              <w:t xml:space="preserve">9 </w:t>
            </w: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22 025,82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15 280,00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35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FD49DE">
              <w:rPr>
                <w:rFonts w:eastAsia="Times New Roman"/>
                <w:sz w:val="22"/>
                <w:szCs w:val="22"/>
              </w:rPr>
              <w:t xml:space="preserve"> </w:t>
            </w:r>
            <w:r w:rsidRPr="00FD49DE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FD49DE">
              <w:rPr>
                <w:rFonts w:eastAsia="Times New Roman"/>
                <w:sz w:val="22"/>
                <w:szCs w:val="22"/>
              </w:rPr>
              <w:t xml:space="preserve"> </w:t>
            </w:r>
            <w:r w:rsidRPr="00FD49DE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2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FD49DE">
              <w:rPr>
                <w:rFonts w:eastAsia="Times New Roman"/>
                <w:sz w:val="22"/>
                <w:szCs w:val="22"/>
              </w:rPr>
              <w:t xml:space="preserve"> </w:t>
            </w:r>
            <w:r w:rsidRPr="00FD49DE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FD49DE">
              <w:rPr>
                <w:rFonts w:eastAsia="Times New Roman"/>
                <w:sz w:val="22"/>
                <w:szCs w:val="22"/>
              </w:rPr>
              <w:t xml:space="preserve"> </w:t>
            </w:r>
            <w:r w:rsidRPr="00FD49DE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13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5 655,50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5 126,00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19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4 176,00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18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4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94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05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41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109,50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0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1 090,32000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3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253,32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2 02 29999 13 0000 151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FD49DE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FD49DE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FD49DE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20705000130000180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FD49D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9DE" w:rsidRPr="00FD49DE" w:rsidTr="00FD49DE">
        <w:trPr>
          <w:gridAfter w:val="3"/>
          <w:wAfter w:w="1180" w:type="dxa"/>
          <w:trHeight w:val="15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DE" w:rsidRDefault="00FD49DE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D49DE" w:rsidRDefault="00FD49DE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F5790" w:rsidRPr="00FD49DE" w:rsidRDefault="00FD49DE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>Приложение № 5</w:t>
            </w:r>
            <w:r w:rsidRPr="00FD49DE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FD49DE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FD49DE">
              <w:rPr>
                <w:rFonts w:eastAsia="Times New Roman"/>
                <w:sz w:val="20"/>
                <w:szCs w:val="20"/>
              </w:rPr>
              <w:br/>
            </w:r>
            <w:r w:rsidR="008F5790"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 w:rsidR="008F5790"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="008F5790"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FD49DE" w:rsidRPr="00FD49DE" w:rsidRDefault="00FD49D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D49DE" w:rsidRPr="00FD49DE" w:rsidTr="00FD49DE">
        <w:trPr>
          <w:gridAfter w:val="2"/>
          <w:wAfter w:w="960" w:type="dxa"/>
          <w:trHeight w:val="1410"/>
        </w:trPr>
        <w:tc>
          <w:tcPr>
            <w:tcW w:w="10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FD49DE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FD49DE" w:rsidRPr="00FD49DE" w:rsidTr="00CF04AE">
        <w:trPr>
          <w:gridAfter w:val="2"/>
          <w:wAfter w:w="960" w:type="dxa"/>
          <w:trHeight w:val="86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DE" w:rsidRPr="00FD49DE" w:rsidRDefault="00FD49DE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DE" w:rsidRPr="00FD49DE" w:rsidRDefault="00FD49DE" w:rsidP="0033798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33798F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D49DE" w:rsidRPr="00FD49DE" w:rsidTr="00CF04AE">
        <w:trPr>
          <w:gridAfter w:val="2"/>
          <w:wAfter w:w="96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DE" w:rsidRPr="00FD49DE" w:rsidRDefault="00FD49DE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10 389,78</w:t>
            </w:r>
          </w:p>
        </w:tc>
      </w:tr>
      <w:tr w:rsidR="00FD49DE" w:rsidRPr="00FD49DE" w:rsidTr="00CF04AE">
        <w:trPr>
          <w:gridAfter w:val="2"/>
          <w:wAfter w:w="960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DE" w:rsidRPr="00FD49DE" w:rsidRDefault="00FD49DE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9DE" w:rsidRPr="00FD49DE" w:rsidTr="00CF04AE">
        <w:trPr>
          <w:gridAfter w:val="2"/>
          <w:wAfter w:w="960" w:type="dxa"/>
          <w:trHeight w:val="3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DE" w:rsidRPr="00FD49DE" w:rsidRDefault="00FD49DE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FD49DE" w:rsidRPr="00FD49DE" w:rsidTr="00CF04AE">
        <w:trPr>
          <w:gridAfter w:val="2"/>
          <w:wAfter w:w="960" w:type="dxa"/>
          <w:trHeight w:val="148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DE" w:rsidRPr="00FD49DE" w:rsidRDefault="00FD49D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DE" w:rsidRPr="00FD49DE" w:rsidRDefault="00FD49DE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1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4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7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8F5790">
        <w:trPr>
          <w:gridAfter w:val="1"/>
          <w:wAfter w:w="724" w:type="dxa"/>
          <w:trHeight w:val="131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87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7 909,78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26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Резервный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8F5790">
        <w:trPr>
          <w:gridAfter w:val="1"/>
          <w:wAfter w:w="724" w:type="dxa"/>
          <w:trHeight w:val="50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35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4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32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8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8079E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</w:t>
            </w:r>
            <w:r w:rsidR="008079E0">
              <w:rPr>
                <w:rFonts w:eastAsia="Times New Roman"/>
                <w:sz w:val="22"/>
                <w:szCs w:val="22"/>
              </w:rPr>
              <w:t>9</w:t>
            </w:r>
            <w:r w:rsidRPr="00FD49DE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5 330,52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058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8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8F5790">
        <w:trPr>
          <w:gridAfter w:val="1"/>
          <w:wAfter w:w="724" w:type="dxa"/>
          <w:trHeight w:val="101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3 546,89000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86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801,90000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018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4 335,90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2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CF04A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5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5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38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61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D49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9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50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23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88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41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104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24 138,82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gridAfter w:val="1"/>
          <w:wAfter w:w="724" w:type="dxa"/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674" w:type="dxa"/>
        <w:tblInd w:w="93" w:type="dxa"/>
        <w:tblLook w:val="04A0" w:firstRow="1" w:lastRow="0" w:firstColumn="1" w:lastColumn="0" w:noHBand="0" w:noVBand="1"/>
      </w:tblPr>
      <w:tblGrid>
        <w:gridCol w:w="4780"/>
        <w:gridCol w:w="840"/>
        <w:gridCol w:w="773"/>
        <w:gridCol w:w="1341"/>
        <w:gridCol w:w="928"/>
        <w:gridCol w:w="1418"/>
        <w:gridCol w:w="594"/>
      </w:tblGrid>
      <w:tr w:rsidR="00096560" w:rsidRPr="00FD49DE" w:rsidTr="00CF04AE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CF04AE" w:rsidRDefault="00CF04AE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8F5790" w:rsidRPr="00FD49DE" w:rsidRDefault="0009656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Приложение № </w:t>
            </w:r>
            <w:r w:rsidR="00FD49DE" w:rsidRPr="00CF04AE">
              <w:rPr>
                <w:rFonts w:eastAsia="Times New Roman"/>
                <w:sz w:val="20"/>
                <w:szCs w:val="20"/>
              </w:rPr>
              <w:t>6</w:t>
            </w:r>
            <w:r w:rsidRPr="00CF04AE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CF04AE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CF04AE">
              <w:rPr>
                <w:rFonts w:eastAsia="Times New Roman"/>
                <w:sz w:val="20"/>
                <w:szCs w:val="20"/>
              </w:rPr>
              <w:br/>
            </w:r>
            <w:r w:rsidR="008F5790"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 w:rsidR="008F5790"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="008F5790"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CF04AE" w:rsidRDefault="00096560" w:rsidP="00FD49D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60" w:rsidRPr="00CF04A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Распределение</w:t>
            </w: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60" w:rsidRPr="00FD49DE" w:rsidRDefault="00096560" w:rsidP="008079E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8079E0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10 389,78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484,50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70"/>
        </w:trPr>
        <w:tc>
          <w:tcPr>
            <w:tcW w:w="4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7 909,78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6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8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4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800"/>
        </w:trPr>
        <w:tc>
          <w:tcPr>
            <w:tcW w:w="4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8079E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</w:t>
            </w:r>
            <w:r w:rsidR="008079E0">
              <w:rPr>
                <w:rFonts w:eastAsia="Times New Roman"/>
                <w:sz w:val="22"/>
                <w:szCs w:val="22"/>
              </w:rPr>
              <w:t>9</w:t>
            </w:r>
            <w:r w:rsidRPr="00FD49DE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5 330,52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16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0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3 546,89000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7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00"/>
        </w:trPr>
        <w:tc>
          <w:tcPr>
            <w:tcW w:w="4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801,90000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4 335,90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CF04A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7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6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D49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9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5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4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9DE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24 138,82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954"/>
        <w:gridCol w:w="806"/>
        <w:gridCol w:w="147"/>
        <w:gridCol w:w="693"/>
        <w:gridCol w:w="260"/>
        <w:gridCol w:w="953"/>
        <w:gridCol w:w="1080"/>
        <w:gridCol w:w="271"/>
        <w:gridCol w:w="2364"/>
        <w:gridCol w:w="2567"/>
        <w:gridCol w:w="236"/>
      </w:tblGrid>
      <w:tr w:rsidR="00CF04AE" w:rsidRPr="00FD49DE" w:rsidTr="00CF04AE">
        <w:trPr>
          <w:gridAfter w:val="1"/>
          <w:wAfter w:w="236" w:type="dxa"/>
          <w:trHeight w:val="15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90" w:rsidRPr="00FD49DE" w:rsidRDefault="00CF04AE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>Приложение № 7</w:t>
            </w:r>
            <w:r w:rsidRPr="00CF04AE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CF04AE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CF04AE">
              <w:rPr>
                <w:rFonts w:eastAsia="Times New Roman"/>
                <w:sz w:val="20"/>
                <w:szCs w:val="20"/>
              </w:rPr>
              <w:br/>
            </w:r>
            <w:r w:rsidR="008F5790"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 w:rsidR="008F5790"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="008F5790"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CF04AE" w:rsidRPr="00CF04AE" w:rsidRDefault="00CF04AE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F04AE" w:rsidRPr="00FD49DE" w:rsidTr="00CF04AE">
        <w:trPr>
          <w:gridAfter w:val="1"/>
          <w:wAfter w:w="236" w:type="dxa"/>
          <w:trHeight w:val="135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AE" w:rsidRPr="00CF04AE" w:rsidRDefault="00CF04AE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CF04AE" w:rsidRPr="00FD49DE" w:rsidTr="00CF04AE">
        <w:trPr>
          <w:gridAfter w:val="1"/>
          <w:wAfter w:w="236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F04AE" w:rsidRPr="00FD49DE" w:rsidTr="00CF04AE">
        <w:trPr>
          <w:gridAfter w:val="1"/>
          <w:wAfter w:w="236" w:type="dxa"/>
          <w:trHeight w:val="6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CF04AE" w:rsidRPr="00FD49DE" w:rsidTr="00CF04AE">
        <w:trPr>
          <w:gridAfter w:val="1"/>
          <w:wAfter w:w="236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04AE" w:rsidRPr="00FD49DE" w:rsidTr="00CF04AE">
        <w:trPr>
          <w:gridAfter w:val="1"/>
          <w:wAfter w:w="236" w:type="dxa"/>
          <w:trHeight w:val="75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</w:tr>
      <w:tr w:rsidR="00CF04AE" w:rsidRPr="00FD49DE" w:rsidTr="00CF04AE">
        <w:trPr>
          <w:gridAfter w:val="1"/>
          <w:wAfter w:w="236" w:type="dxa"/>
          <w:trHeight w:val="154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0200022970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D49D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FD49D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D49D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CF04AE" w:rsidRPr="00FD49DE" w:rsidTr="00CF04AE">
        <w:trPr>
          <w:gridAfter w:val="1"/>
          <w:wAfter w:w="236" w:type="dxa"/>
          <w:trHeight w:val="6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AE" w:rsidRPr="00FD49DE" w:rsidRDefault="00CF04AE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AE" w:rsidRPr="00FD49DE" w:rsidRDefault="00CF04AE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096560" w:rsidRPr="00FD49DE" w:rsidTr="00CF04AE">
        <w:trPr>
          <w:trHeight w:val="94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6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890 000,00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26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821 630,00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801 900,00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5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5 309 830,00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3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DE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Приложение № 8 </w:t>
            </w:r>
          </w:p>
          <w:p w:rsidR="00FD49DE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к решению Муниципального комитета </w:t>
            </w:r>
          </w:p>
          <w:p w:rsidR="00FD49DE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Горноключевского городского поселения </w:t>
            </w:r>
          </w:p>
          <w:p w:rsidR="008F5790" w:rsidRPr="00FD49DE" w:rsidRDefault="008F579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08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A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поселения </w:t>
            </w:r>
          </w:p>
          <w:p w:rsidR="00096560" w:rsidRPr="00CF04A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t>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4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FD49DE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D49DE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D49DE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FD49DE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4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Сумма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2083,00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4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FD49DE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FD49DE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4035,50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lastRenderedPageBreak/>
              <w:t>01 02  00 00 10 0000 810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-1 952,50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45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70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94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2083,00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                               Приложение №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 xml:space="preserve">                        к решению Муниципального комитета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04AE">
              <w:rPr>
                <w:rFonts w:eastAsia="Times New Roman"/>
                <w:sz w:val="20"/>
                <w:szCs w:val="20"/>
              </w:rPr>
              <w:t>Горноключевского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90" w:rsidRPr="00FD49DE" w:rsidRDefault="008F5790" w:rsidP="008F579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49DE"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 xml:space="preserve">380 от 26.12.2018 </w:t>
            </w:r>
            <w:r w:rsidRPr="00FD49DE">
              <w:rPr>
                <w:rFonts w:eastAsia="Times New Roman"/>
                <w:sz w:val="20"/>
                <w:szCs w:val="20"/>
              </w:rPr>
              <w:t>г.</w:t>
            </w:r>
          </w:p>
          <w:p w:rsidR="00096560" w:rsidRPr="00CF04AE" w:rsidRDefault="00096560" w:rsidP="000965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4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33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560" w:rsidRPr="00CF04AE" w:rsidRDefault="00096560" w:rsidP="000965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CF04A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2019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560" w:rsidRPr="00FD49DE" w:rsidRDefault="00096560" w:rsidP="0009656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5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780"/>
        </w:trPr>
        <w:tc>
          <w:tcPr>
            <w:tcW w:w="5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58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FD49DE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r w:rsidR="00FD49DE" w:rsidRPr="00FD49DE">
              <w:rPr>
                <w:rFonts w:eastAsia="Times New Roman"/>
                <w:sz w:val="22"/>
                <w:szCs w:val="22"/>
              </w:rPr>
              <w:t>Горноключевск</w:t>
            </w:r>
            <w:r w:rsidR="00FD49DE">
              <w:rPr>
                <w:rFonts w:eastAsia="Times New Roman"/>
                <w:sz w:val="22"/>
                <w:szCs w:val="22"/>
              </w:rPr>
              <w:t>и</w:t>
            </w:r>
            <w:r w:rsidR="00FD49DE" w:rsidRPr="00FD49DE">
              <w:rPr>
                <w:rFonts w:eastAsia="Times New Roman"/>
                <w:sz w:val="22"/>
                <w:szCs w:val="22"/>
              </w:rPr>
              <w:t>м</w:t>
            </w:r>
            <w:bookmarkStart w:id="0" w:name="_GoBack"/>
            <w:bookmarkEnd w:id="0"/>
            <w:r w:rsidRPr="00FD49DE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2 083,000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1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4 035,500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90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-1 952,500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103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90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4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90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9DE">
              <w:rPr>
                <w:rFonts w:eastAsia="Times New Roman"/>
                <w:b/>
                <w:bCs/>
                <w:sz w:val="22"/>
                <w:szCs w:val="22"/>
              </w:rPr>
              <w:t>2 083,000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37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4 035,500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405"/>
        </w:trPr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60" w:rsidRPr="00FD49DE" w:rsidRDefault="00096560" w:rsidP="0009656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49DE">
              <w:rPr>
                <w:rFonts w:eastAsia="Times New Roman"/>
                <w:sz w:val="22"/>
                <w:szCs w:val="22"/>
              </w:rPr>
              <w:t>-1 952,500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6560" w:rsidRPr="00FD49DE" w:rsidTr="00CF04AE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60" w:rsidRPr="00FD49DE" w:rsidRDefault="00096560" w:rsidP="0009656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096560" w:rsidRPr="00FD49DE" w:rsidRDefault="0009656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sectPr w:rsidR="00096560" w:rsidRPr="00FD49DE" w:rsidSect="00C233D8">
      <w:footerReference w:type="default" r:id="rId9"/>
      <w:pgSz w:w="11906" w:h="16838"/>
      <w:pgMar w:top="284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4A" w:rsidRDefault="00B5604A" w:rsidP="00CE11FB">
      <w:r>
        <w:separator/>
      </w:r>
    </w:p>
  </w:endnote>
  <w:endnote w:type="continuationSeparator" w:id="0">
    <w:p w:rsidR="00B5604A" w:rsidRDefault="00B5604A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15036"/>
      <w:docPartObj>
        <w:docPartGallery w:val="Page Numbers (Bottom of Page)"/>
        <w:docPartUnique/>
      </w:docPartObj>
    </w:sdtPr>
    <w:sdtEndPr/>
    <w:sdtContent>
      <w:p w:rsidR="00FD49DE" w:rsidRDefault="00FD4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90" w:rsidRPr="008F5790">
          <w:rPr>
            <w:noProof/>
            <w:lang w:val="ru-RU"/>
          </w:rPr>
          <w:t>22</w:t>
        </w:r>
        <w:r>
          <w:fldChar w:fldCharType="end"/>
        </w:r>
      </w:p>
    </w:sdtContent>
  </w:sdt>
  <w:p w:rsidR="00FD49DE" w:rsidRDefault="00FD4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4A" w:rsidRDefault="00B5604A" w:rsidP="00CE11FB">
      <w:r>
        <w:separator/>
      </w:r>
    </w:p>
  </w:footnote>
  <w:footnote w:type="continuationSeparator" w:id="0">
    <w:p w:rsidR="00B5604A" w:rsidRDefault="00B5604A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86BB5"/>
    <w:rsid w:val="0009174C"/>
    <w:rsid w:val="00096560"/>
    <w:rsid w:val="000A03CE"/>
    <w:rsid w:val="000A724C"/>
    <w:rsid w:val="000B2D54"/>
    <w:rsid w:val="000B7E94"/>
    <w:rsid w:val="000D0650"/>
    <w:rsid w:val="000D3208"/>
    <w:rsid w:val="000D34E4"/>
    <w:rsid w:val="000E19F6"/>
    <w:rsid w:val="000E36AE"/>
    <w:rsid w:val="000E4B93"/>
    <w:rsid w:val="000E7186"/>
    <w:rsid w:val="000F0372"/>
    <w:rsid w:val="000F2732"/>
    <w:rsid w:val="000F79C5"/>
    <w:rsid w:val="001008CB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2E1F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3798F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378D1"/>
    <w:rsid w:val="00442F4B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97131"/>
    <w:rsid w:val="004A2CB9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289D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51E65"/>
    <w:rsid w:val="00666308"/>
    <w:rsid w:val="00666CBD"/>
    <w:rsid w:val="00674C7A"/>
    <w:rsid w:val="00684F41"/>
    <w:rsid w:val="00685F1B"/>
    <w:rsid w:val="0069627A"/>
    <w:rsid w:val="006A3063"/>
    <w:rsid w:val="006A6DB7"/>
    <w:rsid w:val="006B4556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079E0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1A0B"/>
    <w:rsid w:val="008C6796"/>
    <w:rsid w:val="008D336C"/>
    <w:rsid w:val="008D7672"/>
    <w:rsid w:val="008E06F9"/>
    <w:rsid w:val="008F0C51"/>
    <w:rsid w:val="008F0E5F"/>
    <w:rsid w:val="008F1980"/>
    <w:rsid w:val="008F453E"/>
    <w:rsid w:val="008F5790"/>
    <w:rsid w:val="0092075D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EBC"/>
    <w:rsid w:val="00B34BC4"/>
    <w:rsid w:val="00B3513D"/>
    <w:rsid w:val="00B431DF"/>
    <w:rsid w:val="00B5159C"/>
    <w:rsid w:val="00B5604A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233D8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4AE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0CF3"/>
    <w:rsid w:val="00D52C22"/>
    <w:rsid w:val="00D532A4"/>
    <w:rsid w:val="00D57DBF"/>
    <w:rsid w:val="00D64AAD"/>
    <w:rsid w:val="00D73BB2"/>
    <w:rsid w:val="00D77CC6"/>
    <w:rsid w:val="00D93E37"/>
    <w:rsid w:val="00D95858"/>
    <w:rsid w:val="00DA3E5C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E1E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20B0"/>
    <w:rsid w:val="00FC35D8"/>
    <w:rsid w:val="00FC7A9F"/>
    <w:rsid w:val="00FD49DE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6560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96560"/>
    <w:rPr>
      <w:color w:val="800080"/>
      <w:u w:val="single"/>
    </w:rPr>
  </w:style>
  <w:style w:type="paragraph" w:customStyle="1" w:styleId="xl126">
    <w:name w:val="xl126"/>
    <w:basedOn w:val="a"/>
    <w:rsid w:val="00096560"/>
    <w:pP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7">
    <w:name w:val="xl127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28">
    <w:name w:val="xl128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30">
    <w:name w:val="xl130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31">
    <w:name w:val="xl131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32">
    <w:name w:val="xl132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33">
    <w:name w:val="xl133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</w:rPr>
  </w:style>
  <w:style w:type="paragraph" w:customStyle="1" w:styleId="xl134">
    <w:name w:val="xl134"/>
    <w:basedOn w:val="a"/>
    <w:rsid w:val="0009656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6">
    <w:name w:val="xl136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i/>
      <w:iCs/>
    </w:rPr>
  </w:style>
  <w:style w:type="paragraph" w:customStyle="1" w:styleId="xl137">
    <w:name w:val="xl137"/>
    <w:basedOn w:val="a"/>
    <w:rsid w:val="000965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  <w:i/>
      <w:iCs/>
    </w:rPr>
  </w:style>
  <w:style w:type="paragraph" w:customStyle="1" w:styleId="xl139">
    <w:name w:val="xl139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41">
    <w:name w:val="xl141"/>
    <w:basedOn w:val="a"/>
    <w:rsid w:val="00096560"/>
    <w:pP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43">
    <w:name w:val="xl143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44">
    <w:name w:val="xl144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5">
    <w:name w:val="xl145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rsid w:val="00096560"/>
    <w:pPr>
      <w:spacing w:before="100" w:beforeAutospacing="1" w:after="100" w:afterAutospacing="1"/>
      <w:jc w:val="right"/>
    </w:pPr>
    <w:rPr>
      <w:rFonts w:ascii="Calibri" w:eastAsia="Times New Roman" w:hAnsi="Calibri"/>
    </w:rPr>
  </w:style>
  <w:style w:type="paragraph" w:customStyle="1" w:styleId="xl148">
    <w:name w:val="xl148"/>
    <w:basedOn w:val="a"/>
    <w:rsid w:val="000965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49">
    <w:name w:val="xl149"/>
    <w:basedOn w:val="a"/>
    <w:rsid w:val="000965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6560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96560"/>
    <w:rPr>
      <w:color w:val="800080"/>
      <w:u w:val="single"/>
    </w:rPr>
  </w:style>
  <w:style w:type="paragraph" w:customStyle="1" w:styleId="xl126">
    <w:name w:val="xl126"/>
    <w:basedOn w:val="a"/>
    <w:rsid w:val="00096560"/>
    <w:pP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7">
    <w:name w:val="xl127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28">
    <w:name w:val="xl128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30">
    <w:name w:val="xl130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31">
    <w:name w:val="xl131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32">
    <w:name w:val="xl132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33">
    <w:name w:val="xl133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</w:rPr>
  </w:style>
  <w:style w:type="paragraph" w:customStyle="1" w:styleId="xl134">
    <w:name w:val="xl134"/>
    <w:basedOn w:val="a"/>
    <w:rsid w:val="0009656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6">
    <w:name w:val="xl136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i/>
      <w:iCs/>
    </w:rPr>
  </w:style>
  <w:style w:type="paragraph" w:customStyle="1" w:styleId="xl137">
    <w:name w:val="xl137"/>
    <w:basedOn w:val="a"/>
    <w:rsid w:val="000965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  <w:i/>
      <w:iCs/>
    </w:rPr>
  </w:style>
  <w:style w:type="paragraph" w:customStyle="1" w:styleId="xl139">
    <w:name w:val="xl139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41">
    <w:name w:val="xl141"/>
    <w:basedOn w:val="a"/>
    <w:rsid w:val="00096560"/>
    <w:pP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43">
    <w:name w:val="xl143"/>
    <w:basedOn w:val="a"/>
    <w:rsid w:val="000965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44">
    <w:name w:val="xl144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5">
    <w:name w:val="xl145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096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rsid w:val="00096560"/>
    <w:pPr>
      <w:spacing w:before="100" w:beforeAutospacing="1" w:after="100" w:afterAutospacing="1"/>
      <w:jc w:val="right"/>
    </w:pPr>
    <w:rPr>
      <w:rFonts w:ascii="Calibri" w:eastAsia="Times New Roman" w:hAnsi="Calibri"/>
    </w:rPr>
  </w:style>
  <w:style w:type="paragraph" w:customStyle="1" w:styleId="xl148">
    <w:name w:val="xl148"/>
    <w:basedOn w:val="a"/>
    <w:rsid w:val="000965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49">
    <w:name w:val="xl149"/>
    <w:basedOn w:val="a"/>
    <w:rsid w:val="000965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EFF-4FF5-467E-B060-EF0534E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11</cp:revision>
  <cp:lastPrinted>2018-11-27T01:53:00Z</cp:lastPrinted>
  <dcterms:created xsi:type="dcterms:W3CDTF">2018-11-27T01:56:00Z</dcterms:created>
  <dcterms:modified xsi:type="dcterms:W3CDTF">2018-12-27T01:06:00Z</dcterms:modified>
</cp:coreProperties>
</file>